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7D6EF" w14:textId="77777777" w:rsidR="00BC60FD" w:rsidRPr="00F968F5" w:rsidRDefault="00BC60FD">
      <w:pPr>
        <w:pStyle w:val="Parahead"/>
        <w:rPr>
          <w:rFonts w:ascii="Arial" w:hAnsi="Arial"/>
        </w:rPr>
      </w:pPr>
      <w:r w:rsidRPr="00F968F5">
        <w:rPr>
          <w:rFonts w:ascii="Arial" w:hAnsi="Arial"/>
        </w:rPr>
        <w:t>FDA review process</w:t>
      </w:r>
    </w:p>
    <w:p w14:paraId="2F87D6F0" w14:textId="77777777" w:rsidR="00BC60FD" w:rsidRPr="00F968F5" w:rsidRDefault="00BC60FD">
      <w:pPr>
        <w:pStyle w:val="Para"/>
      </w:pPr>
      <w:r w:rsidRPr="00F968F5">
        <w:t>After a New Drug Application (NDA)</w:t>
      </w:r>
      <w:r w:rsidR="005223CF" w:rsidRPr="00F968F5">
        <w:t xml:space="preserve"> </w:t>
      </w:r>
      <w:r w:rsidRPr="00F968F5">
        <w:t>is submitted to the FDA</w:t>
      </w:r>
      <w:r w:rsidR="005223CF" w:rsidRPr="00F968F5">
        <w:t>, nowadays in the common technical document (CTD) format</w:t>
      </w:r>
      <w:r w:rsidRPr="00F968F5">
        <w:t xml:space="preserve">, it undergoes a technical screening generally referred to as a completeness review. This evaluation ensures that sufficient data and information have been submitted in each area to justify "filing" the application, i.e., justifying the start of the Center for Drug Evaluation and Research (CDER) formal review of the NDA. </w:t>
      </w:r>
    </w:p>
    <w:p w14:paraId="2F87D6F1" w14:textId="77777777" w:rsidR="00BC60FD" w:rsidRPr="00F968F5" w:rsidRDefault="00BC60FD">
      <w:pPr>
        <w:pStyle w:val="Para"/>
      </w:pPr>
      <w:r w:rsidRPr="00F968F5">
        <w:t>Much of the primary review process involves reviewer attempts to confirm and validate the sponsor's conclusion that a drug is safe and effective for its proposed use. The review is likely to involve a reanalysis or an extension of the analyses performed by the sponsor and presented in the NDA, and can involve several different review teams (medical, statistical, biopharmaceutical, microbiology, pharmacology, chemistry). During the course of reviewing an application, CDER usually communicates with sponsors about scientific, medical, and procedural issues that arise during the review process</w:t>
      </w:r>
      <w:r w:rsidR="00F968F5" w:rsidRPr="00F968F5">
        <w:t>, including requests for further information and analyses</w:t>
      </w:r>
      <w:r w:rsidRPr="00F968F5">
        <w:t xml:space="preserve">. </w:t>
      </w:r>
    </w:p>
    <w:p w14:paraId="2F87D6F2" w14:textId="77777777" w:rsidR="00BC60FD" w:rsidRPr="00F968F5" w:rsidRDefault="00BC60FD">
      <w:pPr>
        <w:pStyle w:val="Para"/>
      </w:pPr>
      <w:r w:rsidRPr="00F968F5">
        <w:t>At the conclusion of CDER's review of an application, there are three possible action letters that can be sent to the sponsor:</w:t>
      </w:r>
    </w:p>
    <w:p w14:paraId="2F87D6F3" w14:textId="77777777" w:rsidR="00BC60FD" w:rsidRPr="00F968F5" w:rsidRDefault="00BC60FD">
      <w:pPr>
        <w:pStyle w:val="BulletList1"/>
      </w:pPr>
      <w:r w:rsidRPr="00F968F5">
        <w:t>Not Approvable Letter – lists the deficiencies in the application and explains why the application cannot be approved.</w:t>
      </w:r>
    </w:p>
    <w:p w14:paraId="2F87D6F4" w14:textId="77777777" w:rsidR="00BC60FD" w:rsidRPr="00F968F5" w:rsidRDefault="00BC60FD">
      <w:pPr>
        <w:pStyle w:val="BulletList1"/>
      </w:pPr>
      <w:r w:rsidRPr="00F968F5">
        <w:t>Approvable Letter – signals that, ultimately, the drug can be approved. Lists minor or major deficiencies that can be corrected, and possibly requests commitment</w:t>
      </w:r>
      <w:r w:rsidR="00F968F5" w:rsidRPr="00F968F5">
        <w:t>s</w:t>
      </w:r>
      <w:r w:rsidRPr="00F968F5">
        <w:t xml:space="preserve"> to do other studies.</w:t>
      </w:r>
    </w:p>
    <w:p w14:paraId="2F87D6F5" w14:textId="77777777" w:rsidR="00BC60FD" w:rsidRPr="00F968F5" w:rsidRDefault="00BC60FD">
      <w:pPr>
        <w:pStyle w:val="BulletList1"/>
      </w:pPr>
      <w:r w:rsidRPr="00F968F5">
        <w:t>Approval Letter – states that the drug is approved. May follow an approvable letter, but can also be issued directly.</w:t>
      </w:r>
    </w:p>
    <w:p w14:paraId="2F87D6F6" w14:textId="77777777" w:rsidR="00BC60FD" w:rsidRPr="00F968F5" w:rsidRDefault="00BC60FD">
      <w:pPr>
        <w:pStyle w:val="Para"/>
      </w:pPr>
      <w:r w:rsidRPr="00F968F5">
        <w:t xml:space="preserve">Prior to issuing the action letter, the CDER may recommend </w:t>
      </w:r>
      <w:r w:rsidR="00594069">
        <w:t xml:space="preserve">that </w:t>
      </w:r>
      <w:r w:rsidRPr="00F968F5">
        <w:t xml:space="preserve">the NDA submission </w:t>
      </w:r>
      <w:r w:rsidR="00F968F5" w:rsidRPr="00F968F5">
        <w:t>be</w:t>
      </w:r>
      <w:r w:rsidRPr="00F968F5">
        <w:t xml:space="preserve"> reviewed by an Advisory Committee.</w:t>
      </w:r>
    </w:p>
    <w:p w14:paraId="2F87D6F7" w14:textId="77777777" w:rsidR="00BC60FD" w:rsidRPr="00F968F5" w:rsidRDefault="00BC60FD">
      <w:pPr>
        <w:pStyle w:val="Parahead"/>
        <w:rPr>
          <w:rFonts w:ascii="Arial" w:hAnsi="Arial"/>
        </w:rPr>
      </w:pPr>
      <w:r w:rsidRPr="00F968F5">
        <w:rPr>
          <w:rFonts w:ascii="Arial" w:hAnsi="Arial"/>
        </w:rPr>
        <w:t>Advisory Committees</w:t>
      </w:r>
    </w:p>
    <w:p w14:paraId="2F87D6F8" w14:textId="77777777" w:rsidR="00BC60FD" w:rsidRPr="00F968F5" w:rsidRDefault="00BC60FD">
      <w:pPr>
        <w:pStyle w:val="Para"/>
        <w:rPr>
          <w:snapToGrid w:val="0"/>
          <w:lang w:eastAsia="en-US"/>
        </w:rPr>
      </w:pPr>
      <w:r w:rsidRPr="00F968F5">
        <w:rPr>
          <w:snapToGrid w:val="0"/>
          <w:lang w:eastAsia="en-US"/>
        </w:rPr>
        <w:t>Advisory Committees provide independent expert advice and recommendations to the FDA on scientific and technical matters related to the development and evaluation of products regulated by the Agency. Although the committees provide recommendations to the Agency, final decisions on approval are made by the FD</w:t>
      </w:r>
      <w:r w:rsidR="00F968F5" w:rsidRPr="00F968F5">
        <w:rPr>
          <w:snapToGrid w:val="0"/>
          <w:lang w:eastAsia="en-US"/>
        </w:rPr>
        <w:t xml:space="preserve">A. </w:t>
      </w:r>
      <w:r w:rsidRPr="00F968F5">
        <w:rPr>
          <w:snapToGrid w:val="0"/>
          <w:lang w:eastAsia="en-US"/>
        </w:rPr>
        <w:t xml:space="preserve">Advisory Committees are </w:t>
      </w:r>
      <w:r w:rsidR="00F968F5" w:rsidRPr="00F968F5">
        <w:rPr>
          <w:snapToGrid w:val="0"/>
          <w:lang w:eastAsia="en-US"/>
        </w:rPr>
        <w:t>organized</w:t>
      </w:r>
      <w:r w:rsidRPr="00F968F5">
        <w:rPr>
          <w:snapToGrid w:val="0"/>
          <w:lang w:eastAsia="en-US"/>
        </w:rPr>
        <w:t xml:space="preserve"> according to general subject (e.g., blood products, cardiovascular and renal drugs, anti-infectives) and generally consist of individuals possessing </w:t>
      </w:r>
      <w:r w:rsidR="00F968F5" w:rsidRPr="00F968F5">
        <w:rPr>
          <w:snapToGrid w:val="0"/>
          <w:lang w:eastAsia="en-US"/>
        </w:rPr>
        <w:t>recognized</w:t>
      </w:r>
      <w:r w:rsidRPr="00F968F5">
        <w:rPr>
          <w:snapToGrid w:val="0"/>
          <w:lang w:eastAsia="en-US"/>
        </w:rPr>
        <w:t xml:space="preserve"> expertise and </w:t>
      </w:r>
      <w:r w:rsidR="00F968F5" w:rsidRPr="00F968F5">
        <w:rPr>
          <w:snapToGrid w:val="0"/>
          <w:lang w:eastAsia="en-US"/>
        </w:rPr>
        <w:t>judgment</w:t>
      </w:r>
      <w:r w:rsidRPr="00F968F5">
        <w:rPr>
          <w:snapToGrid w:val="0"/>
          <w:lang w:eastAsia="en-US"/>
        </w:rPr>
        <w:t xml:space="preserve"> in a specific field. </w:t>
      </w:r>
    </w:p>
    <w:p w14:paraId="2F87D6F9" w14:textId="77777777" w:rsidR="00BC60FD" w:rsidRPr="00F968F5" w:rsidRDefault="00BC60FD">
      <w:pPr>
        <w:pStyle w:val="Para"/>
        <w:rPr>
          <w:lang w:eastAsia="en-US"/>
        </w:rPr>
      </w:pPr>
      <w:r w:rsidRPr="00F968F5">
        <w:rPr>
          <w:lang w:eastAsia="en-US"/>
        </w:rPr>
        <w:t>Advisory Committees consist of core members (appointed for their scientific or technical expertise and who serve for the duration of the committee) and other individuals who may be called on an ad hoc basis (e.g., representatives of consumer/patient interests, representatives of the drug manufacturing industry, specialists with expertise in the particular disease or condition for which the drug under consideration is proposed to be indicated).</w:t>
      </w:r>
    </w:p>
    <w:p w14:paraId="2F87D6FA" w14:textId="77777777" w:rsidR="00BC60FD" w:rsidRPr="00F968F5" w:rsidRDefault="00BC60FD">
      <w:pPr>
        <w:pStyle w:val="Para"/>
      </w:pPr>
      <w:r w:rsidRPr="00F968F5">
        <w:rPr>
          <w:lang w:eastAsia="en-US"/>
        </w:rPr>
        <w:t>Members of the committee can be voting or non-voting depending upon their qualifications and any potential conflict of interest. C</w:t>
      </w:r>
      <w:r w:rsidRPr="00F968F5">
        <w:rPr>
          <w:snapToGrid w:val="0"/>
          <w:lang w:eastAsia="en-US"/>
        </w:rPr>
        <w:t xml:space="preserve">ore members will usually be allowed to vote whilst ad hoc members can vote if they have the requisite scientific or technical expertise. Because of inherent conflict of interest concerns, representatives of the drug manufacturing industry are not allowed to vote. </w:t>
      </w:r>
    </w:p>
    <w:sectPr w:rsidR="00BC60FD" w:rsidRPr="00F968F5" w:rsidSect="00C43ABB">
      <w:headerReference w:type="default" r:id="rId7"/>
      <w:footerReference w:type="default" r:id="rId8"/>
      <w:pgSz w:w="11907" w:h="16839" w:code="7"/>
      <w:pgMar w:top="1800" w:right="1109" w:bottom="2074" w:left="1800" w:header="1152" w:footer="15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7D6FD" w14:textId="77777777" w:rsidR="00642BE0" w:rsidRDefault="00642BE0">
      <w:r>
        <w:separator/>
      </w:r>
    </w:p>
  </w:endnote>
  <w:endnote w:type="continuationSeparator" w:id="0">
    <w:p w14:paraId="2F87D6FE" w14:textId="77777777" w:rsidR="00642BE0" w:rsidRDefault="0064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D700" w14:textId="169526E0" w:rsidR="00BC60FD" w:rsidRDefault="00447C94">
    <w:pPr>
      <w:pStyle w:val="Footer"/>
      <w:rPr>
        <w:sz w:val="12"/>
      </w:rPr>
    </w:pPr>
    <w:r>
      <w:rPr>
        <w:noProof/>
        <w:sz w:val="12"/>
      </w:rPr>
      <w:fldChar w:fldCharType="begin"/>
    </w:r>
    <w:r>
      <w:rPr>
        <w:noProof/>
        <w:sz w:val="12"/>
      </w:rPr>
      <w:instrText xml:space="preserve"> FILENAME  \* MERGEFORMAT </w:instrText>
    </w:r>
    <w:r>
      <w:rPr>
        <w:noProof/>
        <w:sz w:val="12"/>
      </w:rPr>
      <w:fldChar w:fldCharType="separate"/>
    </w:r>
    <w:r w:rsidR="007E5E9B">
      <w:rPr>
        <w:noProof/>
        <w:sz w:val="12"/>
      </w:rPr>
      <w:t>DDA2b 02-FDA review process and AC_2021Mar08.docx</w:t>
    </w:r>
    <w:r>
      <w:rPr>
        <w:noProof/>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7D6FB" w14:textId="77777777" w:rsidR="00642BE0" w:rsidRDefault="00642BE0">
      <w:r>
        <w:separator/>
      </w:r>
    </w:p>
  </w:footnote>
  <w:footnote w:type="continuationSeparator" w:id="0">
    <w:p w14:paraId="2F87D6FC" w14:textId="77777777" w:rsidR="00642BE0" w:rsidRDefault="0064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D6FF" w14:textId="77777777" w:rsidR="00BC60FD" w:rsidRDefault="00BC60FD">
    <w:pPr>
      <w:pStyle w:val="Header"/>
    </w:pPr>
    <w:r>
      <w:rPr>
        <w:rFonts w:ascii="Arial" w:hAnsi="Arial"/>
        <w:b/>
        <w:sz w:val="22"/>
      </w:rPr>
      <w:t>EMWA workshop</w:t>
    </w:r>
    <w:r>
      <w:rPr>
        <w:rFonts w:ascii="Arial" w:hAnsi="Arial"/>
        <w:b/>
        <w:sz w:val="22"/>
      </w:rPr>
      <w:br/>
      <w:t>Medical writing between dossier submission and drug approval</w:t>
    </w:r>
    <w:r w:rsidR="00CF5C0B">
      <w:rPr>
        <w:rFonts w:ascii="Arial" w:hAnsi="Arial"/>
        <w:b/>
        <w:sz w:val="22"/>
      </w:rPr>
      <w:t xml:space="preserve"> (DDA2</w:t>
    </w:r>
    <w:r w:rsidR="00260684">
      <w:rPr>
        <w:rFonts w:ascii="Arial" w:hAnsi="Arial"/>
        <w:b/>
        <w:sz w:val="22"/>
      </w:rPr>
      <w:t>b</w:t>
    </w:r>
    <w:r w:rsidR="00CF5C0B">
      <w:rPr>
        <w:rFonts w:ascii="Arial" w:hAnsi="Arial"/>
        <w:b/>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F0C3652"/>
    <w:lvl w:ilvl="0">
      <w:numFmt w:val="decimal"/>
      <w:lvlText w:val="*"/>
      <w:lvlJc w:val="left"/>
    </w:lvl>
  </w:abstractNum>
  <w:abstractNum w:abstractNumId="1" w15:restartNumberingAfterBreak="0">
    <w:nsid w:val="00FE4E33"/>
    <w:multiLevelType w:val="singleLevel"/>
    <w:tmpl w:val="0409000F"/>
    <w:lvl w:ilvl="0">
      <w:start w:val="1"/>
      <w:numFmt w:val="decimal"/>
      <w:lvlText w:val="%1."/>
      <w:legacy w:legacy="1" w:legacySpace="0" w:legacyIndent="360"/>
      <w:lvlJc w:val="left"/>
      <w:pPr>
        <w:ind w:left="360" w:hanging="360"/>
      </w:pPr>
    </w:lvl>
  </w:abstractNum>
  <w:abstractNum w:abstractNumId="2" w15:restartNumberingAfterBreak="0">
    <w:nsid w:val="076B534B"/>
    <w:multiLevelType w:val="singleLevel"/>
    <w:tmpl w:val="5BC88DF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AE51E8"/>
    <w:multiLevelType w:val="singleLevel"/>
    <w:tmpl w:val="8CB6CC6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6B94126"/>
    <w:multiLevelType w:val="singleLevel"/>
    <w:tmpl w:val="4E20ABA4"/>
    <w:lvl w:ilvl="0">
      <w:start w:val="1"/>
      <w:numFmt w:val="bullet"/>
      <w:lvlText w:val=""/>
      <w:lvlJc w:val="left"/>
      <w:pPr>
        <w:tabs>
          <w:tab w:val="num" w:pos="1080"/>
        </w:tabs>
        <w:ind w:left="1080" w:hanging="360"/>
      </w:pPr>
      <w:rPr>
        <w:rFonts w:ascii="Symbol" w:hAnsi="Symbol" w:hint="default"/>
        <w:sz w:val="18"/>
      </w:rPr>
    </w:lvl>
  </w:abstractNum>
  <w:abstractNum w:abstractNumId="5" w15:restartNumberingAfterBreak="0">
    <w:nsid w:val="381B30C9"/>
    <w:multiLevelType w:val="singleLevel"/>
    <w:tmpl w:val="93081514"/>
    <w:lvl w:ilvl="0">
      <w:start w:val="1"/>
      <w:numFmt w:val="bullet"/>
      <w:lvlText w:val=""/>
      <w:lvlJc w:val="left"/>
      <w:pPr>
        <w:tabs>
          <w:tab w:val="num" w:pos="360"/>
        </w:tabs>
        <w:ind w:left="360" w:hanging="360"/>
      </w:pPr>
      <w:rPr>
        <w:rFonts w:ascii="Symbol" w:hAnsi="Symbol" w:hint="default"/>
        <w:sz w:val="22"/>
      </w:rPr>
    </w:lvl>
  </w:abstractNum>
  <w:abstractNum w:abstractNumId="6" w15:restartNumberingAfterBreak="0">
    <w:nsid w:val="3FEF7FE6"/>
    <w:multiLevelType w:val="singleLevel"/>
    <w:tmpl w:val="D414AEC0"/>
    <w:lvl w:ilvl="0">
      <w:start w:val="1"/>
      <w:numFmt w:val="bullet"/>
      <w:lvlText w:val=""/>
      <w:lvlJc w:val="left"/>
      <w:pPr>
        <w:tabs>
          <w:tab w:val="num" w:pos="0"/>
        </w:tabs>
        <w:ind w:left="360" w:hanging="360"/>
      </w:pPr>
      <w:rPr>
        <w:rFonts w:ascii="Symbol" w:hAnsi="Symbol" w:hint="default"/>
        <w:sz w:val="28"/>
      </w:rPr>
    </w:lvl>
  </w:abstractNum>
  <w:abstractNum w:abstractNumId="7" w15:restartNumberingAfterBreak="0">
    <w:nsid w:val="401400C3"/>
    <w:multiLevelType w:val="singleLevel"/>
    <w:tmpl w:val="2262606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44E24CB"/>
    <w:multiLevelType w:val="singleLevel"/>
    <w:tmpl w:val="4C748784"/>
    <w:lvl w:ilvl="0">
      <w:start w:val="1"/>
      <w:numFmt w:val="bullet"/>
      <w:lvlText w:val="–"/>
      <w:lvlJc w:val="left"/>
      <w:pPr>
        <w:tabs>
          <w:tab w:val="num" w:pos="720"/>
        </w:tabs>
        <w:ind w:left="720" w:hanging="360"/>
      </w:pPr>
      <w:rPr>
        <w:rFonts w:ascii="Arial" w:hAnsi="Arial" w:hint="default"/>
      </w:rPr>
    </w:lvl>
  </w:abstractNum>
  <w:abstractNum w:abstractNumId="9" w15:restartNumberingAfterBreak="0">
    <w:nsid w:val="445A045B"/>
    <w:multiLevelType w:val="singleLevel"/>
    <w:tmpl w:val="0409000F"/>
    <w:lvl w:ilvl="0">
      <w:start w:val="1"/>
      <w:numFmt w:val="decimal"/>
      <w:lvlText w:val="%1."/>
      <w:legacy w:legacy="1" w:legacySpace="0" w:legacyIndent="360"/>
      <w:lvlJc w:val="left"/>
      <w:pPr>
        <w:ind w:left="360" w:hanging="360"/>
      </w:pPr>
    </w:lvl>
  </w:abstractNum>
  <w:abstractNum w:abstractNumId="10" w15:restartNumberingAfterBreak="0">
    <w:nsid w:val="4A351FCD"/>
    <w:multiLevelType w:val="singleLevel"/>
    <w:tmpl w:val="04D22A48"/>
    <w:lvl w:ilvl="0">
      <w:start w:val="1"/>
      <w:numFmt w:val="bullet"/>
      <w:lvlText w:val=""/>
      <w:lvlJc w:val="left"/>
      <w:pPr>
        <w:tabs>
          <w:tab w:val="num" w:pos="1080"/>
        </w:tabs>
        <w:ind w:left="1080" w:hanging="360"/>
      </w:pPr>
      <w:rPr>
        <w:rFonts w:ascii="Symbol" w:hAnsi="Symbol" w:hint="default"/>
        <w:sz w:val="18"/>
      </w:rPr>
    </w:lvl>
  </w:abstractNum>
  <w:abstractNum w:abstractNumId="11" w15:restartNumberingAfterBreak="0">
    <w:nsid w:val="573F4885"/>
    <w:multiLevelType w:val="singleLevel"/>
    <w:tmpl w:val="0409000F"/>
    <w:lvl w:ilvl="0">
      <w:start w:val="1"/>
      <w:numFmt w:val="decimal"/>
      <w:lvlText w:val="%1."/>
      <w:legacy w:legacy="1" w:legacySpace="0" w:legacyIndent="360"/>
      <w:lvlJc w:val="left"/>
      <w:pPr>
        <w:ind w:left="360" w:hanging="360"/>
      </w:pPr>
    </w:lvl>
  </w:abstractNum>
  <w:abstractNum w:abstractNumId="12" w15:restartNumberingAfterBreak="0">
    <w:nsid w:val="5E650559"/>
    <w:multiLevelType w:val="singleLevel"/>
    <w:tmpl w:val="B3D8F12C"/>
    <w:lvl w:ilvl="0">
      <w:start w:val="1"/>
      <w:numFmt w:val="bullet"/>
      <w:lvlText w:val=""/>
      <w:lvlJc w:val="left"/>
      <w:pPr>
        <w:tabs>
          <w:tab w:val="num" w:pos="1080"/>
        </w:tabs>
        <w:ind w:left="360" w:firstLine="360"/>
      </w:pPr>
      <w:rPr>
        <w:rFonts w:ascii="Symbol" w:hAnsi="Symbol" w:hint="default"/>
      </w:rPr>
    </w:lvl>
  </w:abstractNum>
  <w:abstractNum w:abstractNumId="13" w15:restartNumberingAfterBreak="0">
    <w:nsid w:val="6709061A"/>
    <w:multiLevelType w:val="singleLevel"/>
    <w:tmpl w:val="0409000F"/>
    <w:lvl w:ilvl="0">
      <w:start w:val="1"/>
      <w:numFmt w:val="decimal"/>
      <w:lvlText w:val="%1."/>
      <w:legacy w:legacy="1" w:legacySpace="0" w:legacyIndent="360"/>
      <w:lvlJc w:val="left"/>
      <w:pPr>
        <w:ind w:left="360" w:hanging="360"/>
      </w:pPr>
    </w:lvl>
  </w:abstractNum>
  <w:abstractNum w:abstractNumId="14" w15:restartNumberingAfterBreak="0">
    <w:nsid w:val="7F036681"/>
    <w:multiLevelType w:val="singleLevel"/>
    <w:tmpl w:val="4008FD86"/>
    <w:lvl w:ilvl="0">
      <w:start w:val="1"/>
      <w:numFmt w:val="decimal"/>
      <w:lvlText w:val="%1."/>
      <w:lvlJc w:val="left"/>
      <w:pPr>
        <w:tabs>
          <w:tab w:val="num" w:pos="360"/>
        </w:tabs>
        <w:ind w:left="360" w:hanging="360"/>
      </w:pPr>
    </w:lvl>
  </w:abstractNum>
  <w:abstractNum w:abstractNumId="15" w15:restartNumberingAfterBreak="0">
    <w:nsid w:val="7FBF0F1B"/>
    <w:multiLevelType w:val="singleLevel"/>
    <w:tmpl w:val="8954F568"/>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4">
    <w:abstractNumId w:val="13"/>
  </w:num>
  <w:num w:numId="5">
    <w:abstractNumId w:val="0"/>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0">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8">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9">
    <w:abstractNumId w:val="2"/>
  </w:num>
  <w:num w:numId="20">
    <w:abstractNumId w:val="15"/>
  </w:num>
  <w:num w:numId="21">
    <w:abstractNumId w:val="7"/>
  </w:num>
  <w:num w:numId="22">
    <w:abstractNumId w:val="2"/>
  </w:num>
  <w:num w:numId="23">
    <w:abstractNumId w:val="15"/>
  </w:num>
  <w:num w:numId="24">
    <w:abstractNumId w:val="7"/>
  </w:num>
  <w:num w:numId="25">
    <w:abstractNumId w:val="0"/>
    <w:lvlOverride w:ilvl="0">
      <w:lvl w:ilvl="0">
        <w:start w:val="1"/>
        <w:numFmt w:val="bullet"/>
        <w:lvlText w:val=""/>
        <w:legacy w:legacy="1" w:legacySpace="0" w:legacyIndent="360"/>
        <w:lvlJc w:val="left"/>
        <w:pPr>
          <w:ind w:left="1080" w:hanging="360"/>
        </w:pPr>
        <w:rPr>
          <w:rFonts w:ascii="Times" w:hAnsi="Times" w:hint="default"/>
        </w:rPr>
      </w:lvl>
    </w:lvlOverride>
  </w:num>
  <w:num w:numId="26">
    <w:abstractNumId w:val="4"/>
  </w:num>
  <w:num w:numId="27">
    <w:abstractNumId w:val="8"/>
  </w:num>
  <w:num w:numId="28">
    <w:abstractNumId w:val="0"/>
    <w:lvlOverride w:ilvl="0">
      <w:lvl w:ilvl="0">
        <w:start w:val="1"/>
        <w:numFmt w:val="bullet"/>
        <w:lvlText w:val=""/>
        <w:legacy w:legacy="1" w:legacySpace="0" w:legacyIndent="360"/>
        <w:lvlJc w:val="left"/>
        <w:pPr>
          <w:ind w:left="360" w:hanging="360"/>
        </w:pPr>
        <w:rPr>
          <w:rFonts w:ascii="Times" w:hAnsi="Times" w:hint="default"/>
        </w:rPr>
      </w:lvl>
    </w:lvlOverride>
  </w:num>
  <w:num w:numId="29">
    <w:abstractNumId w:val="6"/>
  </w:num>
  <w:num w:numId="3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31">
    <w:abstractNumId w:val="5"/>
  </w:num>
  <w:num w:numId="32">
    <w:abstractNumId w:val="0"/>
    <w:lvlOverride w:ilvl="0">
      <w:lvl w:ilvl="0">
        <w:start w:val="1"/>
        <w:numFmt w:val="bullet"/>
        <w:lvlText w:val=""/>
        <w:legacy w:legacy="1" w:legacySpace="0" w:legacyIndent="360"/>
        <w:lvlJc w:val="left"/>
        <w:pPr>
          <w:ind w:left="720" w:hanging="360"/>
        </w:pPr>
        <w:rPr>
          <w:rFonts w:ascii="Courier New" w:hAnsi="Courier New" w:hint="default"/>
        </w:rPr>
      </w:lvl>
    </w:lvlOverride>
  </w:num>
  <w:num w:numId="33">
    <w:abstractNumId w:val="3"/>
  </w:num>
  <w:num w:numId="34">
    <w:abstractNumId w:val="0"/>
    <w:lvlOverride w:ilvl="0">
      <w:lvl w:ilvl="0">
        <w:start w:val="1"/>
        <w:numFmt w:val="bullet"/>
        <w:lvlText w:val=""/>
        <w:legacy w:legacy="1" w:legacySpace="0" w:legacyIndent="283"/>
        <w:lvlJc w:val="left"/>
        <w:pPr>
          <w:ind w:left="1003" w:hanging="283"/>
        </w:pPr>
        <w:rPr>
          <w:rFonts w:ascii="Courier New" w:hAnsi="Courier New" w:hint="default"/>
          <w:sz w:val="18"/>
        </w:rPr>
      </w:lvl>
    </w:lvlOverride>
  </w:num>
  <w:num w:numId="35">
    <w:abstractNumId w:val="10"/>
  </w:num>
  <w:num w:numId="36">
    <w:abstractNumId w:val="1"/>
  </w:num>
  <w:num w:numId="37">
    <w:abstractNumId w:val="9"/>
  </w:num>
  <w:num w:numId="38">
    <w:abstractNumId w:val="14"/>
  </w:num>
  <w:num w:numId="39">
    <w:abstractNumId w:val="5"/>
  </w:num>
  <w:num w:numId="40">
    <w:abstractNumId w:val="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paper2" w:val="N"/>
  </w:docVars>
  <w:rsids>
    <w:rsidRoot w:val="005223CF"/>
    <w:rsid w:val="00004F7A"/>
    <w:rsid w:val="00032DE7"/>
    <w:rsid w:val="000572F4"/>
    <w:rsid w:val="00057E55"/>
    <w:rsid w:val="00117A32"/>
    <w:rsid w:val="00240E30"/>
    <w:rsid w:val="0025236E"/>
    <w:rsid w:val="00260684"/>
    <w:rsid w:val="0034113C"/>
    <w:rsid w:val="00447C94"/>
    <w:rsid w:val="005223CF"/>
    <w:rsid w:val="00594069"/>
    <w:rsid w:val="006030C0"/>
    <w:rsid w:val="00622BCD"/>
    <w:rsid w:val="006331FB"/>
    <w:rsid w:val="00642BE0"/>
    <w:rsid w:val="006776A2"/>
    <w:rsid w:val="007C1E6E"/>
    <w:rsid w:val="007E5E9B"/>
    <w:rsid w:val="00871EA3"/>
    <w:rsid w:val="00915030"/>
    <w:rsid w:val="00957BCE"/>
    <w:rsid w:val="009C62C9"/>
    <w:rsid w:val="00BB13ED"/>
    <w:rsid w:val="00BC60FD"/>
    <w:rsid w:val="00C43ABB"/>
    <w:rsid w:val="00CF5C0B"/>
    <w:rsid w:val="00D0157F"/>
    <w:rsid w:val="00DE1011"/>
    <w:rsid w:val="00F446D5"/>
    <w:rsid w:val="00F968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F87D6EF"/>
  <w15:docId w15:val="{2D48DA07-B4A7-4E71-A7BD-892DF6DDC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ABB"/>
    <w:rPr>
      <w:lang w:val="en-US" w:eastAsia="de-DE"/>
    </w:rPr>
  </w:style>
  <w:style w:type="paragraph" w:styleId="Heading1">
    <w:name w:val="heading 1"/>
    <w:basedOn w:val="Normal"/>
    <w:next w:val="Para"/>
    <w:qFormat/>
    <w:rsid w:val="00C43ABB"/>
    <w:pPr>
      <w:keepNext/>
      <w:keepLines/>
      <w:pageBreakBefore/>
      <w:spacing w:before="360"/>
      <w:ind w:left="1152" w:hanging="1152"/>
      <w:outlineLvl w:val="0"/>
    </w:pPr>
    <w:rPr>
      <w:rFonts w:ascii="Arial" w:hAnsi="Arial"/>
      <w:b/>
      <w:caps/>
      <w:sz w:val="32"/>
    </w:rPr>
  </w:style>
  <w:style w:type="paragraph" w:styleId="Heading2">
    <w:name w:val="heading 2"/>
    <w:basedOn w:val="Normal"/>
    <w:next w:val="Para"/>
    <w:qFormat/>
    <w:rsid w:val="00C43ABB"/>
    <w:pPr>
      <w:keepNext/>
      <w:keepLines/>
      <w:spacing w:before="480"/>
      <w:ind w:left="1022" w:hanging="1022"/>
      <w:outlineLvl w:val="1"/>
    </w:pPr>
    <w:rPr>
      <w:rFonts w:ascii="Arial" w:hAnsi="Arial"/>
      <w:b/>
      <w:sz w:val="28"/>
    </w:rPr>
  </w:style>
  <w:style w:type="paragraph" w:styleId="Heading3">
    <w:name w:val="heading 3"/>
    <w:basedOn w:val="Normal"/>
    <w:next w:val="Para"/>
    <w:qFormat/>
    <w:rsid w:val="00C43ABB"/>
    <w:pPr>
      <w:keepNext/>
      <w:keepLines/>
      <w:spacing w:before="480"/>
      <w:ind w:left="850" w:hanging="850"/>
      <w:outlineLvl w:val="2"/>
    </w:pPr>
    <w:rPr>
      <w:rFonts w:ascii="Arial" w:hAnsi="Arial"/>
      <w:b/>
      <w:sz w:val="24"/>
    </w:rPr>
  </w:style>
  <w:style w:type="paragraph" w:styleId="Heading4">
    <w:name w:val="heading 4"/>
    <w:basedOn w:val="Normal"/>
    <w:next w:val="Para"/>
    <w:qFormat/>
    <w:rsid w:val="00C43ABB"/>
    <w:pPr>
      <w:keepNext/>
      <w:keepLines/>
      <w:spacing w:before="360"/>
      <w:ind w:left="677" w:hanging="677"/>
      <w:outlineLvl w:val="3"/>
    </w:pPr>
    <w:rPr>
      <w:rFonts w:ascii="Arial" w:hAnsi="Arial"/>
      <w:b/>
    </w:rPr>
  </w:style>
  <w:style w:type="paragraph" w:styleId="Heading5">
    <w:name w:val="heading 5"/>
    <w:basedOn w:val="Normal"/>
    <w:next w:val="Para"/>
    <w:qFormat/>
    <w:rsid w:val="00C43ABB"/>
    <w:pPr>
      <w:keepNext/>
      <w:keepLines/>
      <w:spacing w:before="216"/>
      <w:ind w:left="504" w:hanging="504"/>
      <w:outlineLvl w:val="4"/>
    </w:pPr>
    <w:rPr>
      <w:rFonts w:ascii="Arial" w:hAnsi="Arial"/>
      <w:b/>
      <w:i/>
    </w:rPr>
  </w:style>
  <w:style w:type="paragraph" w:styleId="Heading6">
    <w:name w:val="heading 6"/>
    <w:basedOn w:val="Normal"/>
    <w:next w:val="Para"/>
    <w:qFormat/>
    <w:rsid w:val="00C43ABB"/>
    <w:pPr>
      <w:keepNext/>
      <w:keepLines/>
      <w:spacing w:before="216"/>
      <w:ind w:left="504" w:hanging="504"/>
      <w:outlineLvl w:val="5"/>
    </w:pPr>
    <w:rPr>
      <w:rFonts w:ascii="Arial" w:hAnsi="Arial"/>
      <w:b/>
    </w:rPr>
  </w:style>
  <w:style w:type="paragraph" w:styleId="Heading7">
    <w:name w:val="heading 7"/>
    <w:basedOn w:val="Normal"/>
    <w:next w:val="Para"/>
    <w:qFormat/>
    <w:rsid w:val="00C43ABB"/>
    <w:pPr>
      <w:keepNext/>
      <w:keepLines/>
      <w:spacing w:before="216"/>
      <w:ind w:left="504" w:hanging="504"/>
      <w:outlineLvl w:val="6"/>
    </w:pPr>
    <w:rPr>
      <w:rFonts w:ascii="Arial" w:hAnsi="Arial"/>
      <w:b/>
    </w:rPr>
  </w:style>
  <w:style w:type="paragraph" w:styleId="Heading8">
    <w:name w:val="heading 8"/>
    <w:basedOn w:val="Normal"/>
    <w:next w:val="Para"/>
    <w:qFormat/>
    <w:rsid w:val="00C43ABB"/>
    <w:pPr>
      <w:keepNext/>
      <w:keepLines/>
      <w:spacing w:before="216"/>
      <w:ind w:left="504" w:hanging="504"/>
      <w:outlineLvl w:val="7"/>
    </w:pPr>
    <w:rPr>
      <w:rFonts w:ascii="Arial" w:hAnsi="Arial"/>
      <w:b/>
    </w:rPr>
  </w:style>
  <w:style w:type="paragraph" w:styleId="Heading9">
    <w:name w:val="heading 9"/>
    <w:basedOn w:val="Normal"/>
    <w:next w:val="Para"/>
    <w:qFormat/>
    <w:rsid w:val="00C43ABB"/>
    <w:pPr>
      <w:keepNext/>
      <w:keepLines/>
      <w:spacing w:before="216"/>
      <w:ind w:left="504" w:hanging="50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rsid w:val="00C43ABB"/>
    <w:pPr>
      <w:suppressAutoHyphens/>
      <w:spacing w:before="240"/>
    </w:pPr>
    <w:rPr>
      <w:sz w:val="22"/>
      <w:lang w:val="en-US" w:eastAsia="de-DE"/>
    </w:rPr>
  </w:style>
  <w:style w:type="paragraph" w:customStyle="1" w:styleId="BulletList1">
    <w:name w:val="Bullet List 1"/>
    <w:basedOn w:val="Normal"/>
    <w:rsid w:val="00C43ABB"/>
    <w:pPr>
      <w:tabs>
        <w:tab w:val="num" w:pos="360"/>
      </w:tabs>
      <w:spacing w:before="120"/>
      <w:ind w:left="360" w:hanging="360"/>
    </w:pPr>
    <w:rPr>
      <w:sz w:val="22"/>
    </w:rPr>
  </w:style>
  <w:style w:type="paragraph" w:customStyle="1" w:styleId="BulletList2">
    <w:name w:val="Bullet List 2"/>
    <w:basedOn w:val="Normal"/>
    <w:rsid w:val="00C43ABB"/>
    <w:pPr>
      <w:tabs>
        <w:tab w:val="num" w:pos="720"/>
      </w:tabs>
      <w:spacing w:before="120"/>
      <w:ind w:left="720" w:hanging="360"/>
    </w:pPr>
    <w:rPr>
      <w:sz w:val="22"/>
    </w:rPr>
  </w:style>
  <w:style w:type="paragraph" w:customStyle="1" w:styleId="BulletList3">
    <w:name w:val="Bullet List 3"/>
    <w:basedOn w:val="Normal"/>
    <w:rsid w:val="00C43ABB"/>
    <w:pPr>
      <w:tabs>
        <w:tab w:val="num" w:pos="1080"/>
      </w:tabs>
      <w:spacing w:before="120"/>
      <w:ind w:left="1080" w:hanging="360"/>
    </w:pPr>
    <w:rPr>
      <w:sz w:val="22"/>
    </w:rPr>
  </w:style>
  <w:style w:type="paragraph" w:styleId="Caption">
    <w:name w:val="caption"/>
    <w:basedOn w:val="Normal"/>
    <w:next w:val="Normal"/>
    <w:qFormat/>
    <w:rsid w:val="00C43ABB"/>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120" w:after="72"/>
    </w:pPr>
    <w:rPr>
      <w:rFonts w:ascii="Arial" w:hAnsi="Arial"/>
      <w:b/>
    </w:rPr>
  </w:style>
  <w:style w:type="paragraph" w:customStyle="1" w:styleId="figtitle">
    <w:name w:val="fig:title"/>
    <w:basedOn w:val="Normal"/>
    <w:next w:val="Para"/>
    <w:rsid w:val="00C43ABB"/>
    <w:pPr>
      <w:jc w:val="center"/>
    </w:pPr>
    <w:rPr>
      <w:rFonts w:ascii="Arial" w:hAnsi="Arial"/>
      <w:b/>
    </w:rPr>
  </w:style>
  <w:style w:type="paragraph" w:customStyle="1" w:styleId="tbltitle">
    <w:name w:val="tbl:title"/>
    <w:basedOn w:val="Para"/>
    <w:next w:val="Para"/>
    <w:rsid w:val="00C43ABB"/>
    <w:pPr>
      <w:jc w:val="center"/>
    </w:pPr>
    <w:rPr>
      <w:rFonts w:ascii="Arial" w:hAnsi="Arial"/>
      <w:b/>
      <w:sz w:val="20"/>
    </w:rPr>
  </w:style>
  <w:style w:type="paragraph" w:customStyle="1" w:styleId="Figcap">
    <w:name w:val="Figcap"/>
    <w:basedOn w:val="Caption"/>
    <w:next w:val="Para"/>
    <w:rsid w:val="00C43ABB"/>
    <w:pPr>
      <w:spacing w:before="202"/>
    </w:pPr>
  </w:style>
  <w:style w:type="paragraph" w:styleId="Footer">
    <w:name w:val="footer"/>
    <w:basedOn w:val="Normal"/>
    <w:rsid w:val="00C43ABB"/>
    <w:pPr>
      <w:tabs>
        <w:tab w:val="right" w:pos="9072"/>
      </w:tabs>
    </w:pPr>
    <w:rPr>
      <w:sz w:val="22"/>
    </w:rPr>
  </w:style>
  <w:style w:type="character" w:styleId="FootnoteReference">
    <w:name w:val="footnote reference"/>
    <w:basedOn w:val="DefaultParagraphFont"/>
    <w:semiHidden/>
    <w:rsid w:val="00C43ABB"/>
    <w:rPr>
      <w:rFonts w:ascii="Times New Roman" w:hAnsi="Times New Roman"/>
      <w:position w:val="6"/>
      <w:sz w:val="18"/>
      <w:vertAlign w:val="baseline"/>
    </w:rPr>
  </w:style>
  <w:style w:type="paragraph" w:styleId="FootnoteText">
    <w:name w:val="footnote text"/>
    <w:basedOn w:val="Normal"/>
    <w:semiHidden/>
    <w:rsid w:val="00C43ABB"/>
    <w:pPr>
      <w:ind w:left="504" w:hanging="504"/>
    </w:pPr>
  </w:style>
  <w:style w:type="paragraph" w:styleId="Header">
    <w:name w:val="header"/>
    <w:basedOn w:val="Normal"/>
    <w:rsid w:val="00C43ABB"/>
    <w:pPr>
      <w:tabs>
        <w:tab w:val="center" w:pos="4536"/>
      </w:tabs>
    </w:pPr>
    <w:rPr>
      <w:sz w:val="18"/>
    </w:rPr>
  </w:style>
  <w:style w:type="paragraph" w:customStyle="1" w:styleId="Heading1notoc">
    <w:name w:val="Heading 1notoc"/>
    <w:basedOn w:val="Heading1"/>
    <w:next w:val="Para"/>
    <w:rsid w:val="00C43ABB"/>
    <w:pPr>
      <w:outlineLvl w:val="9"/>
    </w:pPr>
  </w:style>
  <w:style w:type="paragraph" w:customStyle="1" w:styleId="Heading2notoc">
    <w:name w:val="Heading 2notoc"/>
    <w:basedOn w:val="Heading2"/>
    <w:next w:val="Para"/>
    <w:rsid w:val="00C43ABB"/>
    <w:pPr>
      <w:outlineLvl w:val="9"/>
    </w:pPr>
  </w:style>
  <w:style w:type="paragraph" w:customStyle="1" w:styleId="Heading3notoc">
    <w:name w:val="Heading 3notoc"/>
    <w:basedOn w:val="Heading3"/>
    <w:next w:val="Para"/>
    <w:rsid w:val="00C43ABB"/>
    <w:pPr>
      <w:outlineLvl w:val="9"/>
    </w:pPr>
  </w:style>
  <w:style w:type="paragraph" w:customStyle="1" w:styleId="Heading4notoc">
    <w:name w:val="Heading 4notoc"/>
    <w:basedOn w:val="Heading4"/>
    <w:next w:val="Para"/>
    <w:rsid w:val="00C43ABB"/>
    <w:pPr>
      <w:outlineLvl w:val="9"/>
    </w:pPr>
  </w:style>
  <w:style w:type="paragraph" w:customStyle="1" w:styleId="Heading5notoc">
    <w:name w:val="Heading 5notoc"/>
    <w:basedOn w:val="Heading5"/>
    <w:next w:val="Para"/>
    <w:rsid w:val="00C43ABB"/>
    <w:pPr>
      <w:outlineLvl w:val="9"/>
    </w:pPr>
  </w:style>
  <w:style w:type="paragraph" w:customStyle="1" w:styleId="Heading6notoc">
    <w:name w:val="Heading 6notoc"/>
    <w:basedOn w:val="Heading6"/>
    <w:next w:val="Para"/>
    <w:rsid w:val="00C43ABB"/>
    <w:pPr>
      <w:outlineLvl w:val="9"/>
    </w:pPr>
  </w:style>
  <w:style w:type="paragraph" w:customStyle="1" w:styleId="Heading7notoc">
    <w:name w:val="Heading 7notoc"/>
    <w:basedOn w:val="Heading7"/>
    <w:next w:val="Para"/>
    <w:rsid w:val="00C43ABB"/>
    <w:pPr>
      <w:outlineLvl w:val="9"/>
    </w:pPr>
  </w:style>
  <w:style w:type="paragraph" w:customStyle="1" w:styleId="Hmr">
    <w:name w:val="Hmr"/>
    <w:next w:val="Para"/>
    <w:rsid w:val="00C43ABB"/>
    <w:pPr>
      <w:framePr w:w="2557" w:h="885" w:hSpace="181" w:wrap="around" w:hAnchor="margin" w:xAlign="right" w:yAlign="bottom"/>
      <w:spacing w:before="120"/>
    </w:pPr>
    <w:rPr>
      <w:rFonts w:ascii="Garamond" w:hAnsi="Garamond"/>
      <w:noProof/>
      <w:lang w:val="de-DE" w:eastAsia="de-DE"/>
    </w:rPr>
  </w:style>
  <w:style w:type="paragraph" w:styleId="MacroText">
    <w:name w:val="macro"/>
    <w:semiHidden/>
    <w:rsid w:val="00C43ABB"/>
    <w:pPr>
      <w:tabs>
        <w:tab w:val="left" w:pos="480"/>
        <w:tab w:val="left" w:pos="960"/>
        <w:tab w:val="left" w:pos="1440"/>
        <w:tab w:val="left" w:pos="1920"/>
        <w:tab w:val="left" w:pos="2400"/>
        <w:tab w:val="left" w:pos="2880"/>
        <w:tab w:val="left" w:pos="3360"/>
        <w:tab w:val="left" w:pos="3840"/>
        <w:tab w:val="left" w:pos="4320"/>
      </w:tabs>
      <w:suppressAutoHyphens/>
      <w:spacing w:before="202" w:after="72"/>
    </w:pPr>
    <w:rPr>
      <w:rFonts w:ascii="Courier New" w:hAnsi="Courier New"/>
      <w:lang w:val="en-US" w:eastAsia="de-DE"/>
    </w:rPr>
  </w:style>
  <w:style w:type="paragraph" w:customStyle="1" w:styleId="NumberList">
    <w:name w:val="Number List"/>
    <w:basedOn w:val="Normal"/>
    <w:rsid w:val="00C43ABB"/>
    <w:pPr>
      <w:tabs>
        <w:tab w:val="num" w:pos="360"/>
      </w:tabs>
      <w:spacing w:before="120"/>
      <w:ind w:left="360" w:hanging="360"/>
    </w:pPr>
    <w:rPr>
      <w:sz w:val="22"/>
    </w:rPr>
  </w:style>
  <w:style w:type="character" w:styleId="PageNumber">
    <w:name w:val="page number"/>
    <w:basedOn w:val="DefaultParagraphFont"/>
    <w:rsid w:val="00C43ABB"/>
  </w:style>
  <w:style w:type="paragraph" w:customStyle="1" w:styleId="Parahead">
    <w:name w:val="Parahead"/>
    <w:basedOn w:val="Para"/>
    <w:rsid w:val="00C43ABB"/>
    <w:rPr>
      <w:b/>
    </w:rPr>
  </w:style>
  <w:style w:type="paragraph" w:customStyle="1" w:styleId="Paraindent">
    <w:name w:val="Paraindent"/>
    <w:basedOn w:val="Para"/>
    <w:rsid w:val="00C43ABB"/>
    <w:pPr>
      <w:ind w:left="360"/>
    </w:pPr>
  </w:style>
  <w:style w:type="paragraph" w:customStyle="1" w:styleId="Paranospace">
    <w:name w:val="Paranospace"/>
    <w:basedOn w:val="Para"/>
    <w:rsid w:val="00C43ABB"/>
    <w:pPr>
      <w:spacing w:before="0" w:after="60"/>
    </w:pPr>
  </w:style>
  <w:style w:type="paragraph" w:customStyle="1" w:styleId="Pohead">
    <w:name w:val="Pohead"/>
    <w:basedOn w:val="Parahead"/>
    <w:next w:val="Parahead"/>
    <w:rsid w:val="00C43ABB"/>
    <w:rPr>
      <w:rFonts w:ascii="Arial" w:hAnsi="Arial"/>
    </w:rPr>
  </w:style>
  <w:style w:type="paragraph" w:customStyle="1" w:styleId="row10">
    <w:name w:val="row10"/>
    <w:basedOn w:val="Normal"/>
    <w:rsid w:val="00C43ABB"/>
    <w:pPr>
      <w:spacing w:before="38" w:after="38"/>
    </w:pPr>
    <w:rPr>
      <w:rFonts w:ascii="Arial" w:hAnsi="Arial"/>
    </w:rPr>
  </w:style>
  <w:style w:type="paragraph" w:customStyle="1" w:styleId="row8">
    <w:name w:val="row8"/>
    <w:basedOn w:val="Para"/>
    <w:rsid w:val="00C43ABB"/>
    <w:pPr>
      <w:spacing w:before="38" w:after="38"/>
    </w:pPr>
    <w:rPr>
      <w:rFonts w:ascii="Courier New" w:hAnsi="Courier New"/>
      <w:sz w:val="16"/>
    </w:rPr>
  </w:style>
  <w:style w:type="paragraph" w:customStyle="1" w:styleId="allstrow">
    <w:name w:val="allstrow"/>
    <w:rsid w:val="00C43ABB"/>
    <w:pPr>
      <w:tabs>
        <w:tab w:val="left" w:pos="360"/>
      </w:tabs>
    </w:pPr>
    <w:rPr>
      <w:rFonts w:ascii="Arial" w:hAnsi="Arial"/>
      <w:noProof/>
      <w:color w:val="000000"/>
      <w:sz w:val="14"/>
      <w:lang w:val="de-DE" w:eastAsia="de-DE"/>
    </w:rPr>
  </w:style>
  <w:style w:type="paragraph" w:customStyle="1" w:styleId="tblfooter10">
    <w:name w:val="tbl:footer10"/>
    <w:basedOn w:val="Normal"/>
    <w:next w:val="Para"/>
    <w:rsid w:val="00C43ABB"/>
    <w:pPr>
      <w:ind w:left="504" w:hanging="504"/>
    </w:pPr>
    <w:rPr>
      <w:rFonts w:ascii="Arial" w:hAnsi="Arial"/>
    </w:rPr>
  </w:style>
  <w:style w:type="paragraph" w:customStyle="1" w:styleId="sstitle">
    <w:name w:val="ss:title"/>
    <w:basedOn w:val="Normal"/>
    <w:rsid w:val="00C43ABB"/>
    <w:pPr>
      <w:pageBreakBefore/>
      <w:jc w:val="center"/>
    </w:pPr>
    <w:rPr>
      <w:rFonts w:ascii="Arial" w:hAnsi="Arial"/>
      <w:b/>
      <w:sz w:val="24"/>
    </w:rPr>
  </w:style>
  <w:style w:type="paragraph" w:customStyle="1" w:styleId="tabbreak">
    <w:name w:val="tabbreak"/>
    <w:basedOn w:val="Para"/>
    <w:rsid w:val="00C43ABB"/>
    <w:pPr>
      <w:spacing w:before="20" w:line="20" w:lineRule="exact"/>
      <w:jc w:val="center"/>
    </w:pPr>
  </w:style>
  <w:style w:type="paragraph" w:customStyle="1" w:styleId="tblcaption10">
    <w:name w:val="tbl:caption10"/>
    <w:basedOn w:val="Normal"/>
    <w:next w:val="Para"/>
    <w:rsid w:val="00C43ABB"/>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202" w:after="72"/>
      <w:ind w:left="1656" w:hanging="1656"/>
    </w:pPr>
    <w:rPr>
      <w:rFonts w:ascii="Arial" w:hAnsi="Arial"/>
      <w:b/>
    </w:rPr>
  </w:style>
  <w:style w:type="paragraph" w:customStyle="1" w:styleId="tblcaption8">
    <w:name w:val="tbl:caption8"/>
    <w:basedOn w:val="Caption"/>
    <w:next w:val="Para"/>
    <w:rsid w:val="00C43ABB"/>
    <w:pPr>
      <w:spacing w:before="60" w:after="60"/>
      <w:ind w:left="1397" w:hanging="1397"/>
    </w:pPr>
    <w:rPr>
      <w:rFonts w:ascii="Courier New" w:hAnsi="Courier New"/>
      <w:b w:val="0"/>
      <w:sz w:val="16"/>
    </w:rPr>
  </w:style>
  <w:style w:type="paragraph" w:customStyle="1" w:styleId="tblcaption9">
    <w:name w:val="tbl:caption9"/>
    <w:basedOn w:val="tblcaption8"/>
    <w:next w:val="Para"/>
    <w:rsid w:val="00C43ABB"/>
    <w:pPr>
      <w:ind w:left="1526" w:hanging="1526"/>
    </w:pPr>
    <w:rPr>
      <w:sz w:val="18"/>
    </w:rPr>
  </w:style>
  <w:style w:type="paragraph" w:customStyle="1" w:styleId="tblfooter8">
    <w:name w:val="tbl:footer8"/>
    <w:basedOn w:val="Para"/>
    <w:rsid w:val="00C43ABB"/>
    <w:pPr>
      <w:tabs>
        <w:tab w:val="left" w:pos="504"/>
      </w:tabs>
      <w:spacing w:before="0"/>
      <w:ind w:left="504" w:hanging="504"/>
    </w:pPr>
    <w:rPr>
      <w:rFonts w:ascii="Courier New" w:hAnsi="Courier New"/>
      <w:sz w:val="16"/>
    </w:rPr>
  </w:style>
  <w:style w:type="paragraph" w:customStyle="1" w:styleId="eurow8">
    <w:name w:val="eurow8"/>
    <w:basedOn w:val="Para"/>
    <w:rsid w:val="00C43ABB"/>
    <w:pPr>
      <w:spacing w:before="38" w:after="38"/>
    </w:pPr>
    <w:rPr>
      <w:rFonts w:ascii="Arial" w:hAnsi="Arial"/>
      <w:sz w:val="16"/>
    </w:rPr>
  </w:style>
  <w:style w:type="paragraph" w:customStyle="1" w:styleId="titlepghd">
    <w:name w:val="titlepghd"/>
    <w:basedOn w:val="Para"/>
    <w:rsid w:val="00C43ABB"/>
    <w:pPr>
      <w:suppressAutoHyphens w:val="0"/>
      <w:jc w:val="center"/>
    </w:pPr>
    <w:rPr>
      <w:rFonts w:ascii="Arial" w:hAnsi="Arial"/>
      <w:b/>
      <w:sz w:val="28"/>
    </w:rPr>
  </w:style>
  <w:style w:type="paragraph" w:customStyle="1" w:styleId="titlepgtxt">
    <w:name w:val="titlepgtxt"/>
    <w:basedOn w:val="titlepghd"/>
    <w:rsid w:val="00C43ABB"/>
    <w:pPr>
      <w:spacing w:before="0"/>
    </w:pPr>
    <w:rPr>
      <w:rFonts w:ascii="Times New Roman" w:hAnsi="Times New Roman"/>
      <w:b w:val="0"/>
      <w:sz w:val="22"/>
    </w:rPr>
  </w:style>
  <w:style w:type="paragraph" w:customStyle="1" w:styleId="TOC">
    <w:name w:val="TOC"/>
    <w:basedOn w:val="Heading1notoc"/>
    <w:next w:val="Para"/>
    <w:rsid w:val="00C43ABB"/>
    <w:pPr>
      <w:spacing w:after="280"/>
      <w:jc w:val="center"/>
    </w:pPr>
  </w:style>
  <w:style w:type="paragraph" w:styleId="TOC1">
    <w:name w:val="toc 1"/>
    <w:basedOn w:val="Para"/>
    <w:next w:val="Para"/>
    <w:semiHidden/>
    <w:rsid w:val="00C43ABB"/>
    <w:pPr>
      <w:keepNext/>
      <w:tabs>
        <w:tab w:val="right" w:leader="dot" w:pos="9000"/>
      </w:tabs>
      <w:spacing w:before="360"/>
      <w:ind w:left="1134" w:right="1134" w:hanging="1134"/>
    </w:pPr>
    <w:rPr>
      <w:b/>
      <w:caps/>
    </w:rPr>
  </w:style>
  <w:style w:type="paragraph" w:styleId="TOC2">
    <w:name w:val="toc 2"/>
    <w:basedOn w:val="Para"/>
    <w:next w:val="Para"/>
    <w:semiHidden/>
    <w:rsid w:val="00C43ABB"/>
    <w:pPr>
      <w:tabs>
        <w:tab w:val="right" w:leader="dot" w:pos="9000"/>
      </w:tabs>
      <w:spacing w:before="0"/>
      <w:ind w:left="1023" w:right="1138" w:hanging="562"/>
    </w:pPr>
    <w:rPr>
      <w:b/>
    </w:rPr>
  </w:style>
  <w:style w:type="paragraph" w:styleId="TOC3">
    <w:name w:val="toc 3"/>
    <w:basedOn w:val="Para"/>
    <w:next w:val="Para"/>
    <w:semiHidden/>
    <w:rsid w:val="00C43ABB"/>
    <w:pPr>
      <w:tabs>
        <w:tab w:val="right" w:leader="dot" w:pos="9000"/>
      </w:tabs>
      <w:spacing w:before="0"/>
      <w:ind w:left="1872" w:right="1134" w:hanging="851"/>
    </w:pPr>
  </w:style>
  <w:style w:type="paragraph" w:styleId="TOC4">
    <w:name w:val="toc 4"/>
    <w:basedOn w:val="Para"/>
    <w:next w:val="Para"/>
    <w:semiHidden/>
    <w:rsid w:val="00C43ABB"/>
    <w:pPr>
      <w:tabs>
        <w:tab w:val="right" w:leader="dot" w:pos="9000"/>
      </w:tabs>
      <w:spacing w:before="0"/>
      <w:ind w:left="2155" w:right="1134" w:hanging="284"/>
    </w:pPr>
  </w:style>
  <w:style w:type="paragraph" w:styleId="TOC5">
    <w:name w:val="toc 5"/>
    <w:basedOn w:val="Para"/>
    <w:next w:val="Para"/>
    <w:semiHidden/>
    <w:rsid w:val="00C43ABB"/>
    <w:pPr>
      <w:tabs>
        <w:tab w:val="right" w:leader="dot" w:pos="9000"/>
      </w:tabs>
      <w:spacing w:before="0"/>
      <w:ind w:left="2448" w:right="1138" w:hanging="288"/>
    </w:pPr>
  </w:style>
  <w:style w:type="paragraph" w:styleId="TOC6">
    <w:name w:val="toc 6"/>
    <w:basedOn w:val="Para"/>
    <w:next w:val="Para"/>
    <w:semiHidden/>
    <w:rsid w:val="00C43ABB"/>
    <w:pPr>
      <w:tabs>
        <w:tab w:val="right" w:leader="dot" w:pos="9000"/>
      </w:tabs>
      <w:spacing w:before="0"/>
      <w:ind w:left="2736" w:right="1138" w:hanging="288"/>
      <w:outlineLvl w:val="5"/>
    </w:pPr>
  </w:style>
  <w:style w:type="paragraph" w:styleId="TOC7">
    <w:name w:val="toc 7"/>
    <w:basedOn w:val="Para"/>
    <w:next w:val="Para"/>
    <w:semiHidden/>
    <w:rsid w:val="00C43ABB"/>
    <w:pPr>
      <w:tabs>
        <w:tab w:val="right" w:leader="dot" w:pos="9000"/>
      </w:tabs>
      <w:spacing w:before="0"/>
      <w:ind w:left="3024" w:right="1138" w:hanging="288"/>
      <w:outlineLvl w:val="6"/>
    </w:pPr>
  </w:style>
  <w:style w:type="paragraph" w:styleId="TOC8">
    <w:name w:val="toc 8"/>
    <w:basedOn w:val="Para"/>
    <w:next w:val="Para"/>
    <w:semiHidden/>
    <w:rsid w:val="00C43ABB"/>
    <w:pPr>
      <w:tabs>
        <w:tab w:val="right" w:leader="dot" w:pos="9000"/>
      </w:tabs>
      <w:spacing w:before="0"/>
      <w:ind w:left="3312" w:right="1138" w:hanging="288"/>
      <w:outlineLvl w:val="7"/>
    </w:pPr>
  </w:style>
  <w:style w:type="paragraph" w:styleId="TOC9">
    <w:name w:val="toc 9"/>
    <w:basedOn w:val="Para"/>
    <w:next w:val="Para"/>
    <w:semiHidden/>
    <w:rsid w:val="00C43ABB"/>
    <w:pPr>
      <w:spacing w:before="0"/>
      <w:ind w:left="3600" w:right="1138" w:hanging="288"/>
      <w:outlineLvl w:val="8"/>
    </w:pPr>
  </w:style>
  <w:style w:type="paragraph" w:customStyle="1" w:styleId="sigblock">
    <w:name w:val="sigblock"/>
    <w:basedOn w:val="Para"/>
    <w:next w:val="Para"/>
    <w:rsid w:val="00C43ABB"/>
    <w:pPr>
      <w:tabs>
        <w:tab w:val="right" w:leader="underscore" w:pos="8280"/>
      </w:tabs>
      <w:spacing w:before="1500"/>
    </w:pPr>
  </w:style>
  <w:style w:type="paragraph" w:customStyle="1" w:styleId="signame">
    <w:name w:val="signame"/>
    <w:basedOn w:val="sigblock"/>
    <w:next w:val="Para"/>
    <w:rsid w:val="00C43ABB"/>
    <w:pPr>
      <w:tabs>
        <w:tab w:val="clear" w:pos="8280"/>
        <w:tab w:val="center" w:pos="4320"/>
      </w:tabs>
      <w:spacing w:before="0"/>
    </w:pPr>
  </w:style>
  <w:style w:type="paragraph" w:customStyle="1" w:styleId="Synhead">
    <w:name w:val="Synhead"/>
    <w:basedOn w:val="Para"/>
    <w:next w:val="Synpara"/>
    <w:rsid w:val="00C43ABB"/>
    <w:pPr>
      <w:keepNext/>
      <w:keepLines/>
    </w:pPr>
    <w:rPr>
      <w:rFonts w:ascii="Arial" w:hAnsi="Arial"/>
      <w:b/>
    </w:rPr>
  </w:style>
  <w:style w:type="paragraph" w:customStyle="1" w:styleId="Synpara">
    <w:name w:val="Synpara"/>
    <w:basedOn w:val="Para"/>
    <w:rsid w:val="00C43ABB"/>
    <w:pPr>
      <w:spacing w:before="0" w:after="60"/>
    </w:pPr>
  </w:style>
  <w:style w:type="paragraph" w:customStyle="1" w:styleId="Subxref">
    <w:name w:val="Subxref"/>
    <w:basedOn w:val="Para"/>
    <w:rsid w:val="00C43ABB"/>
    <w:pPr>
      <w:tabs>
        <w:tab w:val="right" w:leader="dot" w:pos="8640"/>
      </w:tabs>
      <w:spacing w:before="0"/>
    </w:pPr>
    <w:rPr>
      <w:i/>
      <w:sz w:val="18"/>
    </w:rPr>
  </w:style>
  <w:style w:type="paragraph" w:styleId="TableofFigures">
    <w:name w:val="table of figures"/>
    <w:basedOn w:val="Normal"/>
    <w:next w:val="Para"/>
    <w:semiHidden/>
    <w:rsid w:val="00C43ABB"/>
    <w:pPr>
      <w:tabs>
        <w:tab w:val="right" w:leader="dot" w:pos="9000"/>
      </w:tabs>
      <w:ind w:left="1138" w:hanging="1138"/>
    </w:pPr>
  </w:style>
  <w:style w:type="paragraph" w:customStyle="1" w:styleId="Tbltoken">
    <w:name w:val="Tbl token"/>
    <w:basedOn w:val="row8"/>
    <w:rsid w:val="00C43ABB"/>
    <w:pPr>
      <w:spacing w:before="60" w:after="60"/>
    </w:pPr>
  </w:style>
  <w:style w:type="paragraph" w:customStyle="1" w:styleId="tblnote8">
    <w:name w:val="tbl:note8"/>
    <w:basedOn w:val="Normal"/>
    <w:rsid w:val="00C43ABB"/>
    <w:pPr>
      <w:tabs>
        <w:tab w:val="left" w:pos="518"/>
      </w:tabs>
      <w:ind w:left="518" w:hanging="518"/>
    </w:pPr>
    <w:rPr>
      <w:rFonts w:ascii="Courier New" w:hAnsi="Courier New"/>
      <w:sz w:val="16"/>
    </w:rPr>
  </w:style>
  <w:style w:type="paragraph" w:customStyle="1" w:styleId="tblsource8">
    <w:name w:val="tbl:source8"/>
    <w:basedOn w:val="Normal"/>
    <w:rsid w:val="00C43ABB"/>
    <w:pPr>
      <w:tabs>
        <w:tab w:val="right" w:pos="12600"/>
      </w:tabs>
    </w:pPr>
    <w:rPr>
      <w:rFonts w:ascii="Courier New" w:hAnsi="Courier New"/>
      <w:i/>
      <w:sz w:val="16"/>
    </w:rPr>
  </w:style>
  <w:style w:type="paragraph" w:customStyle="1" w:styleId="Tbleottitle">
    <w:name w:val="Tbl eottitle"/>
    <w:basedOn w:val="row8"/>
    <w:rsid w:val="00C43ABB"/>
    <w:pPr>
      <w:spacing w:before="60" w:after="60"/>
    </w:pPr>
  </w:style>
  <w:style w:type="paragraph" w:customStyle="1" w:styleId="Figtoken">
    <w:name w:val="Fig token"/>
    <w:basedOn w:val="row8"/>
    <w:rsid w:val="00C43ABB"/>
    <w:pPr>
      <w:spacing w:before="60" w:after="60"/>
    </w:pPr>
  </w:style>
  <w:style w:type="paragraph" w:customStyle="1" w:styleId="Figeottitle">
    <w:name w:val="Fig eottitle"/>
    <w:basedOn w:val="row8"/>
    <w:rsid w:val="00C43ABB"/>
    <w:pPr>
      <w:spacing w:before="60" w:after="60"/>
    </w:pPr>
  </w:style>
  <w:style w:type="paragraph" w:customStyle="1" w:styleId="figcaption8">
    <w:name w:val="fig:caption8"/>
    <w:basedOn w:val="tblcaption8"/>
    <w:rsid w:val="00C43ABB"/>
  </w:style>
  <w:style w:type="paragraph" w:customStyle="1" w:styleId="Reftoken">
    <w:name w:val="Ref token"/>
    <w:basedOn w:val="Para"/>
    <w:next w:val="Refauthor"/>
    <w:rsid w:val="00C43ABB"/>
    <w:pPr>
      <w:spacing w:before="0"/>
    </w:pPr>
    <w:rPr>
      <w:i/>
    </w:rPr>
  </w:style>
  <w:style w:type="paragraph" w:customStyle="1" w:styleId="Refauthor">
    <w:name w:val="Ref author"/>
    <w:basedOn w:val="Reftoken"/>
    <w:next w:val="Reftitle"/>
    <w:rsid w:val="00C43ABB"/>
    <w:pPr>
      <w:ind w:left="202" w:hanging="202"/>
    </w:pPr>
    <w:rPr>
      <w:i w:val="0"/>
    </w:rPr>
  </w:style>
  <w:style w:type="paragraph" w:customStyle="1" w:styleId="Reftitle">
    <w:name w:val="Ref title"/>
    <w:basedOn w:val="Refauthor"/>
    <w:next w:val="Refreport"/>
    <w:rsid w:val="00C43ABB"/>
  </w:style>
  <w:style w:type="paragraph" w:customStyle="1" w:styleId="Refreport">
    <w:name w:val="Ref report"/>
    <w:basedOn w:val="Refauthor"/>
    <w:next w:val="Para"/>
    <w:rsid w:val="00C43ABB"/>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BLANK02.DOT</Template>
  <TotalTime>1</TotalTime>
  <Pages>1</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FDA review and AC</vt:lpstr>
      <vt:lpstr>FDA review and AC</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FDA review and AC</dc:title>
  <dc:subject/>
  <dc:creator>Douglas Fiebig &amp; Neil Garrett</dc:creator>
  <cp:keywords/>
  <dc:description>Lisbon 2003</dc:description>
  <cp:lastModifiedBy>Fiebig, Douglas [Trilogy]</cp:lastModifiedBy>
  <cp:revision>3</cp:revision>
  <cp:lastPrinted>1899-12-31T23:00:00Z</cp:lastPrinted>
  <dcterms:created xsi:type="dcterms:W3CDTF">2021-03-08T09:11:00Z</dcterms:created>
  <dcterms:modified xsi:type="dcterms:W3CDTF">2021-03-08T09:11:00Z</dcterms:modified>
</cp:coreProperties>
</file>